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296A" w:rsidRDefault="007D296A" w:rsidP="0023721F">
      <w:pPr>
        <w:spacing w:after="0" w:line="240" w:lineRule="auto"/>
        <w:ind w:right="810"/>
        <w:jc w:val="both"/>
        <w:rPr>
          <w:b/>
          <w:noProof/>
        </w:rPr>
      </w:pPr>
      <w:r>
        <w:rPr>
          <w:b/>
          <w:noProof/>
        </w:rPr>
        <w:t>Purpose:</w:t>
      </w:r>
    </w:p>
    <w:p w:rsidR="007D296A" w:rsidRDefault="007D296A" w:rsidP="007D296A">
      <w:pPr>
        <w:spacing w:after="0" w:line="240" w:lineRule="auto"/>
        <w:ind w:right="810" w:firstLine="720"/>
        <w:jc w:val="both"/>
        <w:rPr>
          <w:noProof/>
        </w:rPr>
      </w:pPr>
      <w:r w:rsidRPr="007D296A">
        <w:rPr>
          <w:noProof/>
        </w:rPr>
        <w:t xml:space="preserve">The purpose of the </w:t>
      </w:r>
      <w:r w:rsidR="0089185B">
        <w:rPr>
          <w:noProof/>
        </w:rPr>
        <w:t>Vault Access</w:t>
      </w:r>
      <w:r w:rsidRPr="007D296A">
        <w:rPr>
          <w:noProof/>
        </w:rPr>
        <w:t xml:space="preserve"> Procedure is to ensure that all Participants of SacValley MedShare (SVMS) </w:t>
      </w:r>
      <w:r w:rsidR="0089185B">
        <w:rPr>
          <w:noProof/>
        </w:rPr>
        <w:t>have the proper access to the other Participant vaults of those who are contributing data into production vaults so that historical in</w:t>
      </w:r>
      <w:r w:rsidR="000F13D8">
        <w:rPr>
          <w:noProof/>
        </w:rPr>
        <w:t xml:space="preserve">formation is available to those who are authorized to query the data have the access to do so once </w:t>
      </w:r>
      <w:r w:rsidR="0089185B">
        <w:rPr>
          <w:noProof/>
        </w:rPr>
        <w:t>they are also live</w:t>
      </w:r>
      <w:r w:rsidRPr="007D296A">
        <w:rPr>
          <w:noProof/>
        </w:rPr>
        <w:t>.</w:t>
      </w:r>
    </w:p>
    <w:p w:rsidR="007D296A" w:rsidRDefault="007D296A" w:rsidP="007D296A">
      <w:pPr>
        <w:spacing w:after="0" w:line="240" w:lineRule="auto"/>
        <w:ind w:right="810"/>
        <w:jc w:val="both"/>
        <w:rPr>
          <w:noProof/>
        </w:rPr>
      </w:pPr>
    </w:p>
    <w:p w:rsidR="007D296A" w:rsidRDefault="007D296A" w:rsidP="007D296A">
      <w:pPr>
        <w:spacing w:after="0" w:line="240" w:lineRule="auto"/>
        <w:ind w:right="810"/>
        <w:jc w:val="both"/>
        <w:rPr>
          <w:noProof/>
        </w:rPr>
      </w:pPr>
      <w:r>
        <w:rPr>
          <w:b/>
          <w:noProof/>
        </w:rPr>
        <w:t>Scope and Accountability:</w:t>
      </w:r>
    </w:p>
    <w:p w:rsidR="007D296A" w:rsidRDefault="007D296A" w:rsidP="007D296A">
      <w:pPr>
        <w:spacing w:after="0" w:line="240" w:lineRule="auto"/>
        <w:ind w:right="810"/>
        <w:jc w:val="both"/>
        <w:rPr>
          <w:noProof/>
        </w:rPr>
      </w:pPr>
      <w:r>
        <w:rPr>
          <w:noProof/>
        </w:rPr>
        <w:tab/>
      </w:r>
      <w:r w:rsidRPr="007D296A">
        <w:rPr>
          <w:noProof/>
        </w:rPr>
        <w:t xml:space="preserve">This procedure applies to all </w:t>
      </w:r>
      <w:r w:rsidR="0089185B">
        <w:rPr>
          <w:noProof/>
        </w:rPr>
        <w:t>participants and SVMS</w:t>
      </w:r>
      <w:r>
        <w:rPr>
          <w:noProof/>
        </w:rPr>
        <w:t>.</w:t>
      </w:r>
    </w:p>
    <w:p w:rsidR="007D296A" w:rsidRDefault="007D296A" w:rsidP="007D296A">
      <w:pPr>
        <w:spacing w:after="0" w:line="240" w:lineRule="auto"/>
        <w:ind w:right="810"/>
        <w:jc w:val="both"/>
        <w:rPr>
          <w:noProof/>
        </w:rPr>
      </w:pPr>
    </w:p>
    <w:p w:rsidR="007D296A" w:rsidRDefault="007D296A" w:rsidP="007D296A">
      <w:pPr>
        <w:spacing w:after="0" w:line="240" w:lineRule="auto"/>
        <w:ind w:right="810"/>
        <w:jc w:val="both"/>
        <w:rPr>
          <w:noProof/>
        </w:rPr>
      </w:pPr>
      <w:r>
        <w:rPr>
          <w:b/>
          <w:noProof/>
        </w:rPr>
        <w:t>Definition</w:t>
      </w:r>
      <w:r w:rsidR="009E137B">
        <w:rPr>
          <w:b/>
          <w:noProof/>
        </w:rPr>
        <w:t>s</w:t>
      </w:r>
      <w:r>
        <w:rPr>
          <w:b/>
          <w:noProof/>
        </w:rPr>
        <w:t>:</w:t>
      </w:r>
    </w:p>
    <w:p w:rsidR="00237715" w:rsidRPr="00237715" w:rsidRDefault="00237715" w:rsidP="009E137B">
      <w:pPr>
        <w:pStyle w:val="ListParagraph"/>
        <w:numPr>
          <w:ilvl w:val="0"/>
          <w:numId w:val="8"/>
        </w:numPr>
        <w:spacing w:after="0" w:line="240" w:lineRule="auto"/>
        <w:ind w:left="1080" w:right="810"/>
        <w:jc w:val="both"/>
        <w:rPr>
          <w:noProof/>
        </w:rPr>
      </w:pPr>
      <w:r>
        <w:rPr>
          <w:noProof/>
          <w:u w:val="single"/>
        </w:rPr>
        <w:t>Participant Contact</w:t>
      </w:r>
      <w:r>
        <w:rPr>
          <w:noProof/>
        </w:rPr>
        <w:t xml:space="preserve"> means a representivie designated by the Participant organization to authorize SVMS user access and user changes.</w:t>
      </w:r>
      <w:bookmarkStart w:id="0" w:name="_GoBack"/>
      <w:bookmarkEnd w:id="0"/>
    </w:p>
    <w:p w:rsidR="0089185B" w:rsidRPr="0089185B" w:rsidRDefault="0089185B" w:rsidP="009E137B">
      <w:pPr>
        <w:pStyle w:val="ListParagraph"/>
        <w:numPr>
          <w:ilvl w:val="0"/>
          <w:numId w:val="8"/>
        </w:numPr>
        <w:spacing w:after="0" w:line="240" w:lineRule="auto"/>
        <w:ind w:left="1080" w:right="810"/>
        <w:jc w:val="both"/>
        <w:rPr>
          <w:noProof/>
        </w:rPr>
      </w:pPr>
      <w:r>
        <w:rPr>
          <w:noProof/>
          <w:u w:val="single"/>
        </w:rPr>
        <w:t xml:space="preserve">PROD </w:t>
      </w:r>
      <w:r>
        <w:rPr>
          <w:noProof/>
        </w:rPr>
        <w:t>means Production vaults.</w:t>
      </w:r>
    </w:p>
    <w:p w:rsidR="009E137B" w:rsidRDefault="009E137B" w:rsidP="009E137B">
      <w:pPr>
        <w:pStyle w:val="ListParagraph"/>
        <w:numPr>
          <w:ilvl w:val="0"/>
          <w:numId w:val="8"/>
        </w:numPr>
        <w:spacing w:after="0" w:line="240" w:lineRule="auto"/>
        <w:ind w:left="1080" w:right="810"/>
        <w:jc w:val="both"/>
        <w:rPr>
          <w:noProof/>
        </w:rPr>
      </w:pPr>
      <w:r>
        <w:rPr>
          <w:noProof/>
          <w:u w:val="single"/>
        </w:rPr>
        <w:t>UAT</w:t>
      </w:r>
      <w:r>
        <w:rPr>
          <w:noProof/>
        </w:rPr>
        <w:t xml:space="preserve"> means User Acceptance Testing area.</w:t>
      </w:r>
    </w:p>
    <w:p w:rsidR="007D296A" w:rsidRPr="007D296A" w:rsidRDefault="007D296A" w:rsidP="007D296A">
      <w:pPr>
        <w:spacing w:after="0" w:line="240" w:lineRule="auto"/>
        <w:ind w:right="810"/>
        <w:jc w:val="both"/>
        <w:rPr>
          <w:noProof/>
        </w:rPr>
      </w:pPr>
    </w:p>
    <w:p w:rsidR="008E62D7" w:rsidRPr="00A04D3F" w:rsidRDefault="007D296A" w:rsidP="0023721F">
      <w:pPr>
        <w:spacing w:after="0" w:line="240" w:lineRule="auto"/>
        <w:ind w:right="810"/>
        <w:jc w:val="both"/>
        <w:rPr>
          <w:b/>
          <w:noProof/>
        </w:rPr>
      </w:pPr>
      <w:r>
        <w:rPr>
          <w:b/>
          <w:noProof/>
        </w:rPr>
        <w:t xml:space="preserve">Procedure for </w:t>
      </w:r>
      <w:r w:rsidR="0089185B">
        <w:rPr>
          <w:b/>
          <w:noProof/>
        </w:rPr>
        <w:t>Vault Access</w:t>
      </w:r>
      <w:r w:rsidR="00735533" w:rsidRPr="00A04D3F">
        <w:rPr>
          <w:b/>
          <w:noProof/>
        </w:rPr>
        <w:t>:</w:t>
      </w:r>
    </w:p>
    <w:p w:rsidR="00144086" w:rsidRDefault="00A4038D" w:rsidP="00A4038D">
      <w:pPr>
        <w:pStyle w:val="ListParagraph"/>
        <w:numPr>
          <w:ilvl w:val="0"/>
          <w:numId w:val="9"/>
        </w:numPr>
        <w:spacing w:after="0" w:line="240" w:lineRule="auto"/>
        <w:ind w:right="720"/>
        <w:jc w:val="both"/>
        <w:rPr>
          <w:noProof/>
        </w:rPr>
      </w:pPr>
      <w:r>
        <w:rPr>
          <w:noProof/>
        </w:rPr>
        <w:t>When a Participant is ready to move from UAT to PROD, the Participant contact will inform SVMS.</w:t>
      </w:r>
    </w:p>
    <w:p w:rsidR="00A4038D" w:rsidRDefault="00A4038D" w:rsidP="00A4038D">
      <w:pPr>
        <w:pStyle w:val="ListParagraph"/>
        <w:numPr>
          <w:ilvl w:val="0"/>
          <w:numId w:val="9"/>
        </w:numPr>
        <w:spacing w:after="0" w:line="240" w:lineRule="auto"/>
        <w:ind w:right="720"/>
        <w:jc w:val="both"/>
        <w:rPr>
          <w:noProof/>
        </w:rPr>
      </w:pPr>
      <w:r>
        <w:rPr>
          <w:noProof/>
        </w:rPr>
        <w:t>SVMS will open the Participant’s production vault to the Participant’s</w:t>
      </w:r>
      <w:r w:rsidR="00237715">
        <w:rPr>
          <w:noProof/>
        </w:rPr>
        <w:t xml:space="preserve"> pilot</w:t>
      </w:r>
      <w:r>
        <w:rPr>
          <w:noProof/>
        </w:rPr>
        <w:t xml:space="preserve"> users as instructed by the Participant’s contact</w:t>
      </w:r>
      <w:r w:rsidR="00237715">
        <w:rPr>
          <w:noProof/>
        </w:rPr>
        <w:t>, for QA purposes</w:t>
      </w:r>
      <w:r>
        <w:rPr>
          <w:noProof/>
        </w:rPr>
        <w:t>.</w:t>
      </w:r>
    </w:p>
    <w:p w:rsidR="00A4038D" w:rsidRDefault="00A4038D" w:rsidP="00A4038D">
      <w:pPr>
        <w:pStyle w:val="ListParagraph"/>
        <w:numPr>
          <w:ilvl w:val="0"/>
          <w:numId w:val="9"/>
        </w:numPr>
        <w:spacing w:after="0" w:line="240" w:lineRule="auto"/>
        <w:ind w:right="720"/>
        <w:jc w:val="both"/>
        <w:rPr>
          <w:noProof/>
        </w:rPr>
      </w:pPr>
      <w:r>
        <w:rPr>
          <w:noProof/>
        </w:rPr>
        <w:t xml:space="preserve">SVMS will </w:t>
      </w:r>
      <w:r w:rsidR="00237715">
        <w:rPr>
          <w:noProof/>
        </w:rPr>
        <w:t>allow the Participant’s pilot users full access to the HIE, for QA purposes</w:t>
      </w:r>
      <w:r>
        <w:rPr>
          <w:noProof/>
        </w:rPr>
        <w:t>.</w:t>
      </w:r>
    </w:p>
    <w:p w:rsidR="00A4038D" w:rsidRDefault="00A4038D" w:rsidP="00A4038D">
      <w:pPr>
        <w:pStyle w:val="ListParagraph"/>
        <w:numPr>
          <w:ilvl w:val="0"/>
          <w:numId w:val="9"/>
        </w:numPr>
        <w:spacing w:after="0" w:line="240" w:lineRule="auto"/>
        <w:ind w:right="720"/>
        <w:jc w:val="both"/>
        <w:rPr>
          <w:noProof/>
        </w:rPr>
      </w:pPr>
      <w:r>
        <w:rPr>
          <w:noProof/>
        </w:rPr>
        <w:t>The Participant will QA their production data.</w:t>
      </w:r>
    </w:p>
    <w:p w:rsidR="00A4038D" w:rsidRDefault="00237715" w:rsidP="00237715">
      <w:pPr>
        <w:pStyle w:val="ListParagraph"/>
        <w:numPr>
          <w:ilvl w:val="0"/>
          <w:numId w:val="9"/>
        </w:numPr>
        <w:spacing w:after="0" w:line="240" w:lineRule="auto"/>
        <w:ind w:right="720"/>
        <w:jc w:val="both"/>
        <w:rPr>
          <w:noProof/>
        </w:rPr>
      </w:pPr>
      <w:r w:rsidRPr="00237715">
        <w:rPr>
          <w:noProof/>
        </w:rPr>
        <w:t>The Participant Contact will compile a list of authorized users and will inform SVMS to allow those users access to the Participant’s vault within the HIE</w:t>
      </w:r>
      <w:r w:rsidR="00A4038D">
        <w:rPr>
          <w:noProof/>
        </w:rPr>
        <w:t>.</w:t>
      </w:r>
    </w:p>
    <w:p w:rsidR="00A4038D" w:rsidRDefault="00237715" w:rsidP="00237715">
      <w:pPr>
        <w:pStyle w:val="ListParagraph"/>
        <w:numPr>
          <w:ilvl w:val="0"/>
          <w:numId w:val="9"/>
        </w:numPr>
        <w:spacing w:after="0" w:line="240" w:lineRule="auto"/>
        <w:ind w:right="720"/>
        <w:jc w:val="both"/>
        <w:rPr>
          <w:noProof/>
        </w:rPr>
      </w:pPr>
      <w:r w:rsidRPr="00237715">
        <w:rPr>
          <w:noProof/>
        </w:rPr>
        <w:t>SVMS will created the new user accounts requested by the Participant Contact and allow them access to the Participants own vault</w:t>
      </w:r>
      <w:r w:rsidR="00A4038D">
        <w:rPr>
          <w:noProof/>
        </w:rPr>
        <w:t>.</w:t>
      </w:r>
    </w:p>
    <w:p w:rsidR="00A4038D" w:rsidRDefault="00A4038D" w:rsidP="00237715">
      <w:pPr>
        <w:pStyle w:val="ListParagraph"/>
        <w:numPr>
          <w:ilvl w:val="0"/>
          <w:numId w:val="9"/>
        </w:numPr>
        <w:spacing w:after="0" w:line="240" w:lineRule="auto"/>
        <w:ind w:right="720"/>
        <w:jc w:val="both"/>
        <w:rPr>
          <w:noProof/>
        </w:rPr>
      </w:pPr>
      <w:r>
        <w:rPr>
          <w:noProof/>
        </w:rPr>
        <w:t xml:space="preserve">The Participant will inform </w:t>
      </w:r>
      <w:r w:rsidR="00237715" w:rsidRPr="00237715">
        <w:rPr>
          <w:noProof/>
        </w:rPr>
        <w:t>SVMS to open their production vault to the SVMS HIE and allow other HIE users access to the participant’s vault data</w:t>
      </w:r>
      <w:r>
        <w:rPr>
          <w:noProof/>
        </w:rPr>
        <w:t>.</w:t>
      </w:r>
    </w:p>
    <w:p w:rsidR="00A4038D" w:rsidRPr="000F13D8" w:rsidRDefault="00A4038D" w:rsidP="00A4038D">
      <w:pPr>
        <w:pStyle w:val="ListParagraph"/>
        <w:numPr>
          <w:ilvl w:val="0"/>
          <w:numId w:val="9"/>
        </w:numPr>
        <w:spacing w:after="0" w:line="240" w:lineRule="auto"/>
        <w:ind w:right="720"/>
        <w:jc w:val="both"/>
        <w:rPr>
          <w:noProof/>
        </w:rPr>
      </w:pPr>
      <w:r>
        <w:rPr>
          <w:noProof/>
        </w:rPr>
        <w:t xml:space="preserve">SVMS will </w:t>
      </w:r>
      <w:r w:rsidR="00237715" w:rsidRPr="00237715">
        <w:rPr>
          <w:rFonts w:eastAsia="Times New Roman"/>
        </w:rPr>
        <w:t xml:space="preserve">open </w:t>
      </w:r>
      <w:r w:rsidR="00237715" w:rsidRPr="00237715">
        <w:rPr>
          <w:rFonts w:eastAsia="Times New Roman"/>
        </w:rPr>
        <w:t>the Participant’s</w:t>
      </w:r>
      <w:r w:rsidR="00237715" w:rsidRPr="00237715">
        <w:rPr>
          <w:rFonts w:eastAsia="Times New Roman"/>
        </w:rPr>
        <w:t xml:space="preserve"> production vault to all SVMS HIE users</w:t>
      </w:r>
      <w:r w:rsidRPr="00237715">
        <w:rPr>
          <w:noProof/>
        </w:rPr>
        <w:t>.</w:t>
      </w:r>
    </w:p>
    <w:p w:rsidR="0089185B" w:rsidRDefault="0089185B" w:rsidP="00A04D3F">
      <w:pPr>
        <w:spacing w:after="0" w:line="240" w:lineRule="auto"/>
        <w:jc w:val="both"/>
        <w:rPr>
          <w:b/>
          <w:noProof/>
        </w:rPr>
      </w:pPr>
    </w:p>
    <w:p w:rsidR="00144086" w:rsidRPr="00144086" w:rsidRDefault="00144086" w:rsidP="00A04D3F">
      <w:pPr>
        <w:spacing w:after="0" w:line="240" w:lineRule="auto"/>
        <w:jc w:val="both"/>
        <w:rPr>
          <w:b/>
          <w:noProof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8"/>
        <w:gridCol w:w="2790"/>
        <w:gridCol w:w="3150"/>
        <w:gridCol w:w="1638"/>
      </w:tblGrid>
      <w:tr w:rsidR="006E5F78" w:rsidRPr="006E5F78" w:rsidTr="006E5F78">
        <w:tc>
          <w:tcPr>
            <w:tcW w:w="1998" w:type="dxa"/>
          </w:tcPr>
          <w:p w:rsidR="006E5F78" w:rsidRPr="006E5F78" w:rsidRDefault="006E5F78" w:rsidP="006E5F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Authorization</w:t>
            </w:r>
          </w:p>
        </w:tc>
        <w:tc>
          <w:tcPr>
            <w:tcW w:w="2790" w:type="dxa"/>
          </w:tcPr>
          <w:p w:rsidR="006E5F78" w:rsidRDefault="006E5F78" w:rsidP="006E5F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Name</w:t>
            </w:r>
          </w:p>
        </w:tc>
        <w:tc>
          <w:tcPr>
            <w:tcW w:w="3150" w:type="dxa"/>
          </w:tcPr>
          <w:p w:rsidR="006E5F78" w:rsidRPr="006E5F78" w:rsidRDefault="006E5F78" w:rsidP="006E5F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Signature</w:t>
            </w:r>
          </w:p>
        </w:tc>
        <w:tc>
          <w:tcPr>
            <w:tcW w:w="1638" w:type="dxa"/>
          </w:tcPr>
          <w:p w:rsidR="006E5F78" w:rsidRPr="006E5F78" w:rsidRDefault="006E5F78" w:rsidP="006E5F7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Date</w:t>
            </w:r>
          </w:p>
        </w:tc>
      </w:tr>
      <w:tr w:rsidR="006E5F78" w:rsidTr="006E5F78">
        <w:tc>
          <w:tcPr>
            <w:tcW w:w="1998" w:type="dxa"/>
          </w:tcPr>
          <w:p w:rsidR="006E5F78" w:rsidRDefault="006E5F78">
            <w:pPr>
              <w:rPr>
                <w:noProof/>
              </w:rPr>
            </w:pPr>
            <w:r>
              <w:rPr>
                <w:noProof/>
              </w:rPr>
              <w:t>Board Chair</w:t>
            </w:r>
          </w:p>
        </w:tc>
        <w:tc>
          <w:tcPr>
            <w:tcW w:w="2790" w:type="dxa"/>
          </w:tcPr>
          <w:p w:rsidR="006E5F78" w:rsidRDefault="006E5F78">
            <w:pPr>
              <w:rPr>
                <w:noProof/>
              </w:rPr>
            </w:pPr>
          </w:p>
        </w:tc>
        <w:tc>
          <w:tcPr>
            <w:tcW w:w="3150" w:type="dxa"/>
          </w:tcPr>
          <w:p w:rsidR="006E5F78" w:rsidRDefault="006E5F78">
            <w:pPr>
              <w:rPr>
                <w:noProof/>
              </w:rPr>
            </w:pPr>
          </w:p>
        </w:tc>
        <w:tc>
          <w:tcPr>
            <w:tcW w:w="1638" w:type="dxa"/>
          </w:tcPr>
          <w:p w:rsidR="006E5F78" w:rsidRDefault="006E5F78">
            <w:pPr>
              <w:rPr>
                <w:noProof/>
              </w:rPr>
            </w:pPr>
          </w:p>
        </w:tc>
      </w:tr>
      <w:tr w:rsidR="006E5F78" w:rsidTr="006E5F78">
        <w:tc>
          <w:tcPr>
            <w:tcW w:w="1998" w:type="dxa"/>
          </w:tcPr>
          <w:p w:rsidR="006E5F78" w:rsidRDefault="0089185B">
            <w:pPr>
              <w:rPr>
                <w:noProof/>
              </w:rPr>
            </w:pPr>
            <w:r>
              <w:rPr>
                <w:noProof/>
              </w:rPr>
              <w:t>Project Manager</w:t>
            </w:r>
          </w:p>
        </w:tc>
        <w:tc>
          <w:tcPr>
            <w:tcW w:w="2790" w:type="dxa"/>
          </w:tcPr>
          <w:p w:rsidR="006E5F78" w:rsidRDefault="006E5F78">
            <w:pPr>
              <w:rPr>
                <w:noProof/>
              </w:rPr>
            </w:pPr>
          </w:p>
        </w:tc>
        <w:tc>
          <w:tcPr>
            <w:tcW w:w="3150" w:type="dxa"/>
          </w:tcPr>
          <w:p w:rsidR="006E5F78" w:rsidRDefault="006E5F78">
            <w:pPr>
              <w:rPr>
                <w:noProof/>
              </w:rPr>
            </w:pPr>
          </w:p>
        </w:tc>
        <w:tc>
          <w:tcPr>
            <w:tcW w:w="1638" w:type="dxa"/>
          </w:tcPr>
          <w:p w:rsidR="006E5F78" w:rsidRDefault="006E5F78">
            <w:pPr>
              <w:rPr>
                <w:noProof/>
              </w:rPr>
            </w:pPr>
          </w:p>
        </w:tc>
      </w:tr>
    </w:tbl>
    <w:p w:rsidR="00A04D3F" w:rsidRDefault="00A04D3F" w:rsidP="00C00E4E">
      <w:pPr>
        <w:spacing w:after="0" w:line="240" w:lineRule="auto"/>
      </w:pPr>
    </w:p>
    <w:tbl>
      <w:tblPr>
        <w:tblStyle w:val="TableGrid"/>
        <w:tblW w:w="9576" w:type="dxa"/>
        <w:tblLook w:val="04A0" w:firstRow="1" w:lastRow="0" w:firstColumn="1" w:lastColumn="0" w:noHBand="0" w:noVBand="1"/>
      </w:tblPr>
      <w:tblGrid>
        <w:gridCol w:w="1008"/>
        <w:gridCol w:w="1440"/>
        <w:gridCol w:w="4734"/>
        <w:gridCol w:w="2394"/>
      </w:tblGrid>
      <w:tr w:rsidR="00F830BE" w:rsidRPr="000C460B" w:rsidTr="00402526">
        <w:trPr>
          <w:trHeight w:val="188"/>
        </w:trPr>
        <w:tc>
          <w:tcPr>
            <w:tcW w:w="1008" w:type="dxa"/>
          </w:tcPr>
          <w:p w:rsidR="00F830BE" w:rsidRPr="000C460B" w:rsidRDefault="00F830BE" w:rsidP="00402526">
            <w:r>
              <w:t>Version</w:t>
            </w:r>
          </w:p>
        </w:tc>
        <w:tc>
          <w:tcPr>
            <w:tcW w:w="1440" w:type="dxa"/>
          </w:tcPr>
          <w:p w:rsidR="00F830BE" w:rsidRPr="009C6DEF" w:rsidRDefault="00F830BE" w:rsidP="00402526">
            <w:pPr>
              <w:rPr>
                <w:b/>
              </w:rPr>
            </w:pPr>
            <w:r w:rsidRPr="009C6DEF">
              <w:rPr>
                <w:b/>
              </w:rPr>
              <w:t>Date</w:t>
            </w:r>
          </w:p>
        </w:tc>
        <w:tc>
          <w:tcPr>
            <w:tcW w:w="4734" w:type="dxa"/>
          </w:tcPr>
          <w:p w:rsidR="00F830BE" w:rsidRPr="009C6DEF" w:rsidRDefault="00F830BE" w:rsidP="00402526">
            <w:pPr>
              <w:rPr>
                <w:b/>
              </w:rPr>
            </w:pPr>
            <w:r w:rsidRPr="009C6DEF">
              <w:rPr>
                <w:b/>
              </w:rPr>
              <w:t>Author</w:t>
            </w:r>
          </w:p>
        </w:tc>
        <w:tc>
          <w:tcPr>
            <w:tcW w:w="2394" w:type="dxa"/>
          </w:tcPr>
          <w:p w:rsidR="00F830BE" w:rsidRPr="009C6DEF" w:rsidRDefault="00F830BE" w:rsidP="00402526">
            <w:pPr>
              <w:rPr>
                <w:b/>
              </w:rPr>
            </w:pPr>
            <w:r w:rsidRPr="009C6DEF">
              <w:rPr>
                <w:b/>
              </w:rPr>
              <w:t>Comment</w:t>
            </w:r>
          </w:p>
        </w:tc>
      </w:tr>
      <w:tr w:rsidR="00F830BE" w:rsidRPr="000C460B" w:rsidTr="00402526">
        <w:trPr>
          <w:trHeight w:val="224"/>
        </w:trPr>
        <w:tc>
          <w:tcPr>
            <w:tcW w:w="1008" w:type="dxa"/>
          </w:tcPr>
          <w:p w:rsidR="00F830BE" w:rsidRPr="000C460B" w:rsidRDefault="00F830BE" w:rsidP="00402526">
            <w:r>
              <w:t>.001</w:t>
            </w:r>
          </w:p>
        </w:tc>
        <w:tc>
          <w:tcPr>
            <w:tcW w:w="1440" w:type="dxa"/>
          </w:tcPr>
          <w:p w:rsidR="00F830BE" w:rsidRPr="000C460B" w:rsidRDefault="0089185B" w:rsidP="00402526">
            <w:r>
              <w:t>05/04/2017</w:t>
            </w:r>
          </w:p>
        </w:tc>
        <w:tc>
          <w:tcPr>
            <w:tcW w:w="4734" w:type="dxa"/>
          </w:tcPr>
          <w:p w:rsidR="00F830BE" w:rsidRPr="000C460B" w:rsidRDefault="0089185B" w:rsidP="00AC6E9F">
            <w:r>
              <w:t>E. Steffen</w:t>
            </w:r>
            <w:r w:rsidR="00237715">
              <w:t>/ J. Werner</w:t>
            </w:r>
          </w:p>
        </w:tc>
        <w:tc>
          <w:tcPr>
            <w:tcW w:w="2394" w:type="dxa"/>
          </w:tcPr>
          <w:p w:rsidR="00F830BE" w:rsidRPr="000C460B" w:rsidRDefault="00F830BE" w:rsidP="00402526">
            <w:r>
              <w:t>Initial release.</w:t>
            </w:r>
          </w:p>
        </w:tc>
      </w:tr>
      <w:tr w:rsidR="00F830BE" w:rsidRPr="000C460B" w:rsidTr="00402526">
        <w:tc>
          <w:tcPr>
            <w:tcW w:w="1008" w:type="dxa"/>
          </w:tcPr>
          <w:p w:rsidR="00F830BE" w:rsidRPr="000C460B" w:rsidRDefault="00F830BE" w:rsidP="00402526"/>
        </w:tc>
        <w:tc>
          <w:tcPr>
            <w:tcW w:w="1440" w:type="dxa"/>
          </w:tcPr>
          <w:p w:rsidR="00F830BE" w:rsidRPr="000C460B" w:rsidRDefault="00F830BE" w:rsidP="00402526"/>
        </w:tc>
        <w:tc>
          <w:tcPr>
            <w:tcW w:w="4734" w:type="dxa"/>
          </w:tcPr>
          <w:p w:rsidR="00F830BE" w:rsidRPr="000C460B" w:rsidRDefault="00F830BE" w:rsidP="00402526"/>
        </w:tc>
        <w:tc>
          <w:tcPr>
            <w:tcW w:w="2394" w:type="dxa"/>
          </w:tcPr>
          <w:p w:rsidR="00F830BE" w:rsidRPr="000C460B" w:rsidRDefault="00F830BE" w:rsidP="00402526"/>
        </w:tc>
      </w:tr>
      <w:tr w:rsidR="00F830BE" w:rsidRPr="000C460B" w:rsidTr="00402526">
        <w:tc>
          <w:tcPr>
            <w:tcW w:w="1008" w:type="dxa"/>
          </w:tcPr>
          <w:p w:rsidR="00F830BE" w:rsidRPr="000C460B" w:rsidRDefault="00F830BE" w:rsidP="00402526"/>
        </w:tc>
        <w:tc>
          <w:tcPr>
            <w:tcW w:w="1440" w:type="dxa"/>
          </w:tcPr>
          <w:p w:rsidR="00F830BE" w:rsidRPr="000C460B" w:rsidRDefault="00F830BE" w:rsidP="00402526"/>
        </w:tc>
        <w:tc>
          <w:tcPr>
            <w:tcW w:w="4734" w:type="dxa"/>
          </w:tcPr>
          <w:p w:rsidR="00F830BE" w:rsidRPr="000C460B" w:rsidRDefault="00F830BE" w:rsidP="00402526"/>
        </w:tc>
        <w:tc>
          <w:tcPr>
            <w:tcW w:w="2394" w:type="dxa"/>
          </w:tcPr>
          <w:p w:rsidR="00F830BE" w:rsidRPr="000C460B" w:rsidRDefault="00F830BE" w:rsidP="00402526"/>
        </w:tc>
      </w:tr>
      <w:tr w:rsidR="00F830BE" w:rsidRPr="000C460B" w:rsidTr="00402526">
        <w:tc>
          <w:tcPr>
            <w:tcW w:w="1008" w:type="dxa"/>
          </w:tcPr>
          <w:p w:rsidR="00F830BE" w:rsidRPr="000C460B" w:rsidRDefault="00F830BE" w:rsidP="00402526"/>
        </w:tc>
        <w:tc>
          <w:tcPr>
            <w:tcW w:w="1440" w:type="dxa"/>
          </w:tcPr>
          <w:p w:rsidR="00F830BE" w:rsidRPr="000C460B" w:rsidRDefault="00F830BE" w:rsidP="00402526"/>
        </w:tc>
        <w:tc>
          <w:tcPr>
            <w:tcW w:w="4734" w:type="dxa"/>
          </w:tcPr>
          <w:p w:rsidR="00F830BE" w:rsidRPr="000C460B" w:rsidRDefault="00F830BE" w:rsidP="00402526"/>
        </w:tc>
        <w:tc>
          <w:tcPr>
            <w:tcW w:w="2394" w:type="dxa"/>
          </w:tcPr>
          <w:p w:rsidR="00F830BE" w:rsidRPr="000C460B" w:rsidRDefault="00F830BE" w:rsidP="00402526"/>
        </w:tc>
      </w:tr>
    </w:tbl>
    <w:p w:rsidR="00E71681" w:rsidRDefault="00E71681" w:rsidP="00641A77">
      <w:pPr>
        <w:spacing w:after="0" w:line="240" w:lineRule="auto"/>
      </w:pPr>
    </w:p>
    <w:sectPr w:rsidR="00E71681" w:rsidSect="0023721F">
      <w:headerReference w:type="default" r:id="rId7"/>
      <w:footerReference w:type="default" r:id="rId8"/>
      <w:pgSz w:w="12240" w:h="15840"/>
      <w:pgMar w:top="1440" w:right="5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137B" w:rsidRDefault="009E137B" w:rsidP="006E5F78">
      <w:pPr>
        <w:spacing w:after="0" w:line="240" w:lineRule="auto"/>
      </w:pPr>
      <w:r>
        <w:separator/>
      </w:r>
    </w:p>
  </w:endnote>
  <w:endnote w:type="continuationSeparator" w:id="0">
    <w:p w:rsidR="009E137B" w:rsidRDefault="009E137B" w:rsidP="006E5F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37B" w:rsidRDefault="009E137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C2C2830" wp14:editId="050E8C16">
              <wp:simplePos x="0" y="0"/>
              <wp:positionH relativeFrom="column">
                <wp:posOffset>-7951</wp:posOffset>
              </wp:positionH>
              <wp:positionV relativeFrom="paragraph">
                <wp:posOffset>-71700</wp:posOffset>
              </wp:positionV>
              <wp:extent cx="6019137" cy="0"/>
              <wp:effectExtent l="0" t="0" r="20320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19137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DCDA0FF" id="Straight Connector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65pt,-5.65pt" to="473.3pt,-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" strokecolor="#4579b8 [3044]"/>
          </w:pict>
        </mc:Fallback>
      </mc:AlternateContent>
    </w:r>
    <w:r>
      <w:t>SVMS-PRO-01</w:t>
    </w:r>
    <w:r w:rsidR="00795308">
      <w:t>8</w:t>
    </w:r>
    <w:r>
      <w:t xml:space="preserve">.001 </w:t>
    </w:r>
    <w:r w:rsidR="0089185B">
      <w:t>Vault Access Procedure</w:t>
    </w:r>
    <w:r w:rsidR="0089185B">
      <w:tab/>
    </w:r>
    <w:r>
      <w:tab/>
    </w:r>
    <w:r w:rsidRPr="00FD1538">
      <w:t xml:space="preserve">Page </w:t>
    </w:r>
    <w:r w:rsidRPr="00FD1538">
      <w:rPr>
        <w:bCs/>
      </w:rPr>
      <w:fldChar w:fldCharType="begin"/>
    </w:r>
    <w:r w:rsidRPr="00FD1538">
      <w:rPr>
        <w:bCs/>
      </w:rPr>
      <w:instrText xml:space="preserve"> PAGE </w:instrText>
    </w:r>
    <w:r w:rsidRPr="00FD1538">
      <w:rPr>
        <w:bCs/>
      </w:rPr>
      <w:fldChar w:fldCharType="separate"/>
    </w:r>
    <w:r w:rsidR="00237715">
      <w:rPr>
        <w:bCs/>
        <w:noProof/>
      </w:rPr>
      <w:t>1</w:t>
    </w:r>
    <w:r w:rsidRPr="00FD1538">
      <w:rPr>
        <w:bCs/>
      </w:rPr>
      <w:fldChar w:fldCharType="end"/>
    </w:r>
    <w:r w:rsidRPr="00FD1538">
      <w:t xml:space="preserve"> of </w:t>
    </w:r>
    <w:r w:rsidRPr="00FD1538">
      <w:rPr>
        <w:bCs/>
      </w:rPr>
      <w:fldChar w:fldCharType="begin"/>
    </w:r>
    <w:r w:rsidRPr="00FD1538">
      <w:rPr>
        <w:bCs/>
      </w:rPr>
      <w:instrText xml:space="preserve"> NUMPAGES  </w:instrText>
    </w:r>
    <w:r w:rsidRPr="00FD1538">
      <w:rPr>
        <w:bCs/>
      </w:rPr>
      <w:fldChar w:fldCharType="separate"/>
    </w:r>
    <w:r w:rsidR="00237715">
      <w:rPr>
        <w:bCs/>
        <w:noProof/>
      </w:rPr>
      <w:t>1</w:t>
    </w:r>
    <w:r w:rsidRPr="00FD1538"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137B" w:rsidRDefault="009E137B" w:rsidP="006E5F78">
      <w:pPr>
        <w:spacing w:after="0" w:line="240" w:lineRule="auto"/>
      </w:pPr>
      <w:r>
        <w:separator/>
      </w:r>
    </w:p>
  </w:footnote>
  <w:footnote w:type="continuationSeparator" w:id="0">
    <w:p w:rsidR="009E137B" w:rsidRDefault="009E137B" w:rsidP="006E5F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3192"/>
      <w:gridCol w:w="3306"/>
      <w:gridCol w:w="3060"/>
    </w:tblGrid>
    <w:tr w:rsidR="009E137B" w:rsidTr="00402526">
      <w:tc>
        <w:tcPr>
          <w:tcW w:w="3192" w:type="dxa"/>
          <w:vMerge w:val="restart"/>
          <w:tcBorders>
            <w:top w:val="nil"/>
            <w:left w:val="nil"/>
          </w:tcBorders>
        </w:tcPr>
        <w:p w:rsidR="009E137B" w:rsidRDefault="009E137B" w:rsidP="00402526">
          <w:pPr>
            <w:rPr>
              <w:noProof/>
            </w:rPr>
          </w:pP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738B4C4E" wp14:editId="41FB3383">
                <wp:simplePos x="0" y="0"/>
                <wp:positionH relativeFrom="column">
                  <wp:posOffset>-71562</wp:posOffset>
                </wp:positionH>
                <wp:positionV relativeFrom="paragraph">
                  <wp:posOffset>-2374</wp:posOffset>
                </wp:positionV>
                <wp:extent cx="2019632" cy="683812"/>
                <wp:effectExtent l="0" t="0" r="0" b="254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26422" cy="686111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306" w:type="dxa"/>
        </w:tcPr>
        <w:p w:rsidR="009E137B" w:rsidRDefault="009E137B" w:rsidP="00402526">
          <w:pPr>
            <w:rPr>
              <w:noProof/>
            </w:rPr>
          </w:pPr>
        </w:p>
        <w:p w:rsidR="009E137B" w:rsidRDefault="009E137B" w:rsidP="00402526">
          <w:pPr>
            <w:rPr>
              <w:noProof/>
            </w:rPr>
          </w:pPr>
          <w:r>
            <w:rPr>
              <w:noProof/>
            </w:rPr>
            <w:t>PROCEDURE:</w:t>
          </w:r>
        </w:p>
        <w:p w:rsidR="009E137B" w:rsidRPr="006E5F78" w:rsidRDefault="0089185B" w:rsidP="00735533">
          <w:pPr>
            <w:rPr>
              <w:i/>
              <w:noProof/>
            </w:rPr>
          </w:pPr>
          <w:r>
            <w:rPr>
              <w:i/>
              <w:noProof/>
            </w:rPr>
            <w:t>Vault Access</w:t>
          </w:r>
        </w:p>
      </w:tc>
      <w:tc>
        <w:tcPr>
          <w:tcW w:w="3060" w:type="dxa"/>
        </w:tcPr>
        <w:p w:rsidR="009E137B" w:rsidRDefault="009E137B" w:rsidP="00402526">
          <w:pPr>
            <w:rPr>
              <w:noProof/>
            </w:rPr>
          </w:pPr>
        </w:p>
        <w:p w:rsidR="009E137B" w:rsidRDefault="009E137B" w:rsidP="00402526">
          <w:pPr>
            <w:rPr>
              <w:noProof/>
            </w:rPr>
          </w:pPr>
          <w:r>
            <w:rPr>
              <w:noProof/>
            </w:rPr>
            <w:t>PROCEDURE NUMBER:</w:t>
          </w:r>
        </w:p>
        <w:p w:rsidR="009E137B" w:rsidRPr="006E5F78" w:rsidRDefault="0089185B" w:rsidP="0018253F">
          <w:pPr>
            <w:rPr>
              <w:i/>
              <w:noProof/>
            </w:rPr>
          </w:pPr>
          <w:r>
            <w:rPr>
              <w:i/>
              <w:noProof/>
            </w:rPr>
            <w:t>SVMS-PRO-01</w:t>
          </w:r>
          <w:r w:rsidR="00795308">
            <w:rPr>
              <w:i/>
              <w:noProof/>
            </w:rPr>
            <w:t>8</w:t>
          </w:r>
          <w:r w:rsidR="009E137B">
            <w:rPr>
              <w:i/>
              <w:noProof/>
            </w:rPr>
            <w:t>.001</w:t>
          </w:r>
        </w:p>
      </w:tc>
    </w:tr>
    <w:tr w:rsidR="009E137B" w:rsidTr="00735533">
      <w:tc>
        <w:tcPr>
          <w:tcW w:w="3192" w:type="dxa"/>
          <w:vMerge/>
          <w:tcBorders>
            <w:left w:val="nil"/>
          </w:tcBorders>
        </w:tcPr>
        <w:p w:rsidR="009E137B" w:rsidRDefault="009E137B" w:rsidP="00402526">
          <w:pPr>
            <w:jc w:val="center"/>
            <w:rPr>
              <w:noProof/>
            </w:rPr>
          </w:pPr>
        </w:p>
      </w:tc>
      <w:tc>
        <w:tcPr>
          <w:tcW w:w="3306" w:type="dxa"/>
        </w:tcPr>
        <w:p w:rsidR="009E137B" w:rsidRDefault="009E137B" w:rsidP="007D296A">
          <w:pPr>
            <w:rPr>
              <w:noProof/>
            </w:rPr>
          </w:pPr>
          <w:r>
            <w:rPr>
              <w:noProof/>
            </w:rPr>
            <w:t xml:space="preserve">Author: </w:t>
          </w:r>
          <w:r w:rsidR="0089185B">
            <w:rPr>
              <w:noProof/>
            </w:rPr>
            <w:t>Elizabeth L Steffen</w:t>
          </w:r>
        </w:p>
      </w:tc>
      <w:tc>
        <w:tcPr>
          <w:tcW w:w="3060" w:type="dxa"/>
        </w:tcPr>
        <w:p w:rsidR="009E137B" w:rsidRDefault="009E137B" w:rsidP="007D296A">
          <w:pPr>
            <w:tabs>
              <w:tab w:val="center" w:pos="1422"/>
            </w:tabs>
            <w:rPr>
              <w:noProof/>
            </w:rPr>
          </w:pPr>
          <w:r>
            <w:rPr>
              <w:noProof/>
            </w:rPr>
            <w:t xml:space="preserve">Origination Date: </w:t>
          </w:r>
          <w:r w:rsidR="0089185B">
            <w:rPr>
              <w:noProof/>
            </w:rPr>
            <w:t>04/13</w:t>
          </w:r>
          <w:r>
            <w:rPr>
              <w:noProof/>
            </w:rPr>
            <w:t>/2017</w:t>
          </w:r>
        </w:p>
      </w:tc>
    </w:tr>
    <w:tr w:rsidR="009E137B" w:rsidTr="00735533">
      <w:tc>
        <w:tcPr>
          <w:tcW w:w="3192" w:type="dxa"/>
          <w:vMerge/>
          <w:tcBorders>
            <w:left w:val="nil"/>
            <w:bottom w:val="nil"/>
          </w:tcBorders>
        </w:tcPr>
        <w:p w:rsidR="009E137B" w:rsidRPr="006E5F78" w:rsidRDefault="009E137B" w:rsidP="00402526">
          <w:pPr>
            <w:jc w:val="center"/>
            <w:rPr>
              <w:noProof/>
            </w:rPr>
          </w:pPr>
          <w:bookmarkStart w:id="1" w:name="fn3"/>
          <w:bookmarkEnd w:id="1"/>
        </w:p>
      </w:tc>
      <w:tc>
        <w:tcPr>
          <w:tcW w:w="3306" w:type="dxa"/>
        </w:tcPr>
        <w:p w:rsidR="009E137B" w:rsidRDefault="009E137B" w:rsidP="00B47E78">
          <w:pPr>
            <w:rPr>
              <w:noProof/>
            </w:rPr>
          </w:pPr>
          <w:r>
            <w:rPr>
              <w:noProof/>
            </w:rPr>
            <w:t xml:space="preserve">Revised By: </w:t>
          </w:r>
        </w:p>
      </w:tc>
      <w:tc>
        <w:tcPr>
          <w:tcW w:w="3060" w:type="dxa"/>
        </w:tcPr>
        <w:p w:rsidR="009E137B" w:rsidRDefault="009E137B" w:rsidP="00B47E78">
          <w:pPr>
            <w:rPr>
              <w:noProof/>
            </w:rPr>
          </w:pPr>
          <w:r>
            <w:rPr>
              <w:noProof/>
            </w:rPr>
            <w:t xml:space="preserve">Revised Date: </w:t>
          </w:r>
        </w:p>
      </w:tc>
    </w:tr>
  </w:tbl>
  <w:p w:rsidR="009E137B" w:rsidRDefault="009E13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A7576"/>
    <w:multiLevelType w:val="hybridMultilevel"/>
    <w:tmpl w:val="0DB06D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B447B6"/>
    <w:multiLevelType w:val="hybridMultilevel"/>
    <w:tmpl w:val="206652D6"/>
    <w:lvl w:ilvl="0" w:tplc="51F0E3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533E1C"/>
    <w:multiLevelType w:val="hybridMultilevel"/>
    <w:tmpl w:val="E4F8A6CA"/>
    <w:lvl w:ilvl="0" w:tplc="0409000F">
      <w:start w:val="1"/>
      <w:numFmt w:val="decimal"/>
      <w:lvlText w:val="%1."/>
      <w:lvlJc w:val="left"/>
      <w:pPr>
        <w:ind w:left="-2160" w:hanging="360"/>
      </w:pPr>
    </w:lvl>
    <w:lvl w:ilvl="1" w:tplc="04090019" w:tentative="1">
      <w:start w:val="1"/>
      <w:numFmt w:val="lowerLetter"/>
      <w:lvlText w:val="%2."/>
      <w:lvlJc w:val="left"/>
      <w:pPr>
        <w:ind w:left="-1440" w:hanging="360"/>
      </w:pPr>
    </w:lvl>
    <w:lvl w:ilvl="2" w:tplc="0409001B" w:tentative="1">
      <w:start w:val="1"/>
      <w:numFmt w:val="lowerRoman"/>
      <w:lvlText w:val="%3."/>
      <w:lvlJc w:val="right"/>
      <w:pPr>
        <w:ind w:left="-720" w:hanging="180"/>
      </w:pPr>
    </w:lvl>
    <w:lvl w:ilvl="3" w:tplc="0409000F" w:tentative="1">
      <w:start w:val="1"/>
      <w:numFmt w:val="decimal"/>
      <w:lvlText w:val="%4."/>
      <w:lvlJc w:val="left"/>
      <w:pPr>
        <w:ind w:left="0" w:hanging="360"/>
      </w:pPr>
    </w:lvl>
    <w:lvl w:ilvl="4" w:tplc="04090019" w:tentative="1">
      <w:start w:val="1"/>
      <w:numFmt w:val="lowerLetter"/>
      <w:lvlText w:val="%5."/>
      <w:lvlJc w:val="left"/>
      <w:pPr>
        <w:ind w:left="720" w:hanging="360"/>
      </w:pPr>
    </w:lvl>
    <w:lvl w:ilvl="5" w:tplc="0409001B" w:tentative="1">
      <w:start w:val="1"/>
      <w:numFmt w:val="lowerRoman"/>
      <w:lvlText w:val="%6."/>
      <w:lvlJc w:val="right"/>
      <w:pPr>
        <w:ind w:left="1440" w:hanging="180"/>
      </w:pPr>
    </w:lvl>
    <w:lvl w:ilvl="6" w:tplc="0409000F" w:tentative="1">
      <w:start w:val="1"/>
      <w:numFmt w:val="decimal"/>
      <w:lvlText w:val="%7."/>
      <w:lvlJc w:val="left"/>
      <w:pPr>
        <w:ind w:left="2160" w:hanging="360"/>
      </w:pPr>
    </w:lvl>
    <w:lvl w:ilvl="7" w:tplc="04090019" w:tentative="1">
      <w:start w:val="1"/>
      <w:numFmt w:val="lowerLetter"/>
      <w:lvlText w:val="%8."/>
      <w:lvlJc w:val="left"/>
      <w:pPr>
        <w:ind w:left="2880" w:hanging="360"/>
      </w:pPr>
    </w:lvl>
    <w:lvl w:ilvl="8" w:tplc="0409001B" w:tentative="1">
      <w:start w:val="1"/>
      <w:numFmt w:val="lowerRoman"/>
      <w:lvlText w:val="%9."/>
      <w:lvlJc w:val="right"/>
      <w:pPr>
        <w:ind w:left="3600" w:hanging="180"/>
      </w:pPr>
    </w:lvl>
  </w:abstractNum>
  <w:abstractNum w:abstractNumId="3" w15:restartNumberingAfterBreak="0">
    <w:nsid w:val="1F150D6D"/>
    <w:multiLevelType w:val="hybridMultilevel"/>
    <w:tmpl w:val="658E8C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9112F9"/>
    <w:multiLevelType w:val="hybridMultilevel"/>
    <w:tmpl w:val="3ECC673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1240874"/>
    <w:multiLevelType w:val="hybridMultilevel"/>
    <w:tmpl w:val="DA3CB9F6"/>
    <w:lvl w:ilvl="0" w:tplc="04090013">
      <w:start w:val="1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1932F13"/>
    <w:multiLevelType w:val="hybridMultilevel"/>
    <w:tmpl w:val="658E8C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0B3F6B"/>
    <w:multiLevelType w:val="hybridMultilevel"/>
    <w:tmpl w:val="79CC124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A434800"/>
    <w:multiLevelType w:val="hybridMultilevel"/>
    <w:tmpl w:val="4B6E097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7"/>
  </w:num>
  <w:num w:numId="5">
    <w:abstractNumId w:val="5"/>
  </w:num>
  <w:num w:numId="6">
    <w:abstractNumId w:val="1"/>
  </w:num>
  <w:num w:numId="7">
    <w:abstractNumId w:val="4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F78"/>
    <w:rsid w:val="000310CB"/>
    <w:rsid w:val="000B696A"/>
    <w:rsid w:val="000F13D8"/>
    <w:rsid w:val="00144086"/>
    <w:rsid w:val="0018253F"/>
    <w:rsid w:val="00196A13"/>
    <w:rsid w:val="001D360D"/>
    <w:rsid w:val="0023721F"/>
    <w:rsid w:val="00237715"/>
    <w:rsid w:val="002F10C1"/>
    <w:rsid w:val="00301317"/>
    <w:rsid w:val="00321B0A"/>
    <w:rsid w:val="00342121"/>
    <w:rsid w:val="003627A2"/>
    <w:rsid w:val="003750F0"/>
    <w:rsid w:val="003A403A"/>
    <w:rsid w:val="00402526"/>
    <w:rsid w:val="004A076A"/>
    <w:rsid w:val="005F0660"/>
    <w:rsid w:val="006067A3"/>
    <w:rsid w:val="006145BC"/>
    <w:rsid w:val="00641A77"/>
    <w:rsid w:val="0064674D"/>
    <w:rsid w:val="006662B3"/>
    <w:rsid w:val="006E5F78"/>
    <w:rsid w:val="00713959"/>
    <w:rsid w:val="00720141"/>
    <w:rsid w:val="00735533"/>
    <w:rsid w:val="00764DD3"/>
    <w:rsid w:val="00795308"/>
    <w:rsid w:val="007A14A0"/>
    <w:rsid w:val="007D296A"/>
    <w:rsid w:val="008268FB"/>
    <w:rsid w:val="00847032"/>
    <w:rsid w:val="00891763"/>
    <w:rsid w:val="0089185B"/>
    <w:rsid w:val="008D0823"/>
    <w:rsid w:val="008E62D7"/>
    <w:rsid w:val="00911F17"/>
    <w:rsid w:val="00925710"/>
    <w:rsid w:val="00933351"/>
    <w:rsid w:val="00955A6C"/>
    <w:rsid w:val="009929FC"/>
    <w:rsid w:val="00997839"/>
    <w:rsid w:val="009B1547"/>
    <w:rsid w:val="009E137B"/>
    <w:rsid w:val="009F651C"/>
    <w:rsid w:val="00A04D3F"/>
    <w:rsid w:val="00A4038D"/>
    <w:rsid w:val="00AC6E9F"/>
    <w:rsid w:val="00B47E78"/>
    <w:rsid w:val="00BA18E2"/>
    <w:rsid w:val="00BF283B"/>
    <w:rsid w:val="00BF6D2D"/>
    <w:rsid w:val="00C00E4E"/>
    <w:rsid w:val="00C10117"/>
    <w:rsid w:val="00C15C65"/>
    <w:rsid w:val="00C57FE6"/>
    <w:rsid w:val="00CA5759"/>
    <w:rsid w:val="00CC38B0"/>
    <w:rsid w:val="00CD24F6"/>
    <w:rsid w:val="00CF66BF"/>
    <w:rsid w:val="00DB3FE5"/>
    <w:rsid w:val="00E71681"/>
    <w:rsid w:val="00F830BE"/>
    <w:rsid w:val="00FD0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27B80C9F"/>
  <w15:docId w15:val="{E1FD6FAB-1D57-41C9-AD0F-51E639564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5F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5F7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E5F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5F78"/>
  </w:style>
  <w:style w:type="paragraph" w:styleId="Footer">
    <w:name w:val="footer"/>
    <w:basedOn w:val="Normal"/>
    <w:link w:val="FooterChar"/>
    <w:uiPriority w:val="99"/>
    <w:unhideWhenUsed/>
    <w:rsid w:val="006E5F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5F78"/>
  </w:style>
  <w:style w:type="table" w:styleId="TableGrid">
    <w:name w:val="Table Grid"/>
    <w:basedOn w:val="TableNormal"/>
    <w:uiPriority w:val="59"/>
    <w:rsid w:val="006E5F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7E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Seneca Healthcare District</Company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Steffen</dc:creator>
  <cp:lastModifiedBy>SacValley MedShare</cp:lastModifiedBy>
  <cp:revision>8</cp:revision>
  <cp:lastPrinted>2017-02-01T18:47:00Z</cp:lastPrinted>
  <dcterms:created xsi:type="dcterms:W3CDTF">2017-04-13T16:31:00Z</dcterms:created>
  <dcterms:modified xsi:type="dcterms:W3CDTF">2017-04-13T20:24:00Z</dcterms:modified>
</cp:coreProperties>
</file>